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C068" w14:textId="77777777" w:rsidR="00741E7E" w:rsidRDefault="00741E7E">
      <w:pPr>
        <w:pStyle w:val="Titulek"/>
        <w:jc w:val="center"/>
        <w:rPr>
          <w:u w:color="000000"/>
        </w:rPr>
      </w:pPr>
    </w:p>
    <w:p w14:paraId="65E73A55" w14:textId="77777777" w:rsidR="00741E7E" w:rsidRDefault="00741E7E">
      <w:pPr>
        <w:pStyle w:val="TextA"/>
      </w:pPr>
    </w:p>
    <w:p w14:paraId="72B5C5F0" w14:textId="77777777" w:rsidR="00741E7E" w:rsidRDefault="00A310C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432" w:hanging="432"/>
        <w:jc w:val="center"/>
        <w:outlineLvl w:val="0"/>
        <w:rPr>
          <w:rFonts w:ascii="Tahoma" w:eastAsia="Tahoma" w:hAnsi="Tahoma" w:cs="Tahoma"/>
          <w:b/>
          <w:bCs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Dotační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program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obce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Trojanovice</w:t>
      </w:r>
      <w:proofErr w:type="spellEnd"/>
    </w:p>
    <w:p w14:paraId="42777A14" w14:textId="77777777" w:rsidR="00741E7E" w:rsidRDefault="00A310C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432" w:hanging="432"/>
        <w:jc w:val="center"/>
        <w:outlineLvl w:val="0"/>
        <w:rPr>
          <w:rFonts w:ascii="Tahoma" w:eastAsia="Tahoma" w:hAnsi="Tahoma" w:cs="Tahoma"/>
          <w:b/>
          <w:bCs/>
          <w:kern w:val="1"/>
          <w:sz w:val="20"/>
          <w:szCs w:val="20"/>
          <w:u w:color="000000"/>
        </w:rPr>
      </w:pPr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„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Návratná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finanční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výpomoc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na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pořízení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nov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  <w:lang w:val="fr-FR"/>
        </w:rPr>
        <w:t>é</w:t>
      </w:r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ho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zdroje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vytápění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 xml:space="preserve"> –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bezúročn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  <w:lang w:val="fr-FR"/>
        </w:rPr>
        <w:t xml:space="preserve">é </w:t>
      </w:r>
      <w:proofErr w:type="spellStart"/>
      <w:r>
        <w:rPr>
          <w:rFonts w:ascii="Tahoma" w:hAnsi="Tahoma"/>
          <w:b/>
          <w:bCs/>
          <w:kern w:val="1"/>
          <w:sz w:val="28"/>
          <w:szCs w:val="28"/>
          <w:u w:color="000000"/>
        </w:rPr>
        <w:t>zápůjčky</w:t>
      </w:r>
      <w:proofErr w:type="spellEnd"/>
      <w:r>
        <w:rPr>
          <w:rFonts w:ascii="Tahoma" w:hAnsi="Tahoma"/>
          <w:b/>
          <w:bCs/>
          <w:kern w:val="1"/>
          <w:sz w:val="28"/>
          <w:szCs w:val="28"/>
          <w:u w:color="000000"/>
        </w:rPr>
        <w:t>“</w:t>
      </w:r>
    </w:p>
    <w:p w14:paraId="7C932EB3" w14:textId="77777777" w:rsidR="00741E7E" w:rsidRDefault="00741E7E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432" w:hanging="432"/>
        <w:jc w:val="center"/>
        <w:outlineLvl w:val="0"/>
        <w:rPr>
          <w:rFonts w:ascii="Tahoma" w:eastAsia="Tahoma" w:hAnsi="Tahoma" w:cs="Tahoma"/>
          <w:b/>
          <w:bCs/>
          <w:kern w:val="1"/>
          <w:sz w:val="20"/>
          <w:szCs w:val="20"/>
          <w:u w:color="000000"/>
        </w:rPr>
      </w:pPr>
    </w:p>
    <w:p w14:paraId="35737646" w14:textId="77777777" w:rsidR="00741E7E" w:rsidRDefault="00A310C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outlineLvl w:val="0"/>
        <w:rPr>
          <w:rFonts w:ascii="Tahoma" w:eastAsia="Tahoma" w:hAnsi="Tahoma" w:cs="Tahoma"/>
          <w:b/>
          <w:bCs/>
          <w:kern w:val="1"/>
          <w:sz w:val="20"/>
          <w:szCs w:val="20"/>
          <w:u w:color="000000"/>
        </w:rPr>
      </w:pPr>
      <w:r>
        <w:rPr>
          <w:rFonts w:ascii="Tahoma" w:hAnsi="Tahoma"/>
          <w:b/>
          <w:bCs/>
          <w:kern w:val="1"/>
          <w:sz w:val="20"/>
          <w:szCs w:val="20"/>
          <w:u w:color="000000"/>
        </w:rPr>
        <w:t xml:space="preserve">I. </w:t>
      </w:r>
      <w:proofErr w:type="spellStart"/>
      <w:r>
        <w:rPr>
          <w:rFonts w:ascii="Tahoma" w:hAnsi="Tahoma"/>
          <w:b/>
          <w:bCs/>
          <w:kern w:val="1"/>
          <w:sz w:val="20"/>
          <w:szCs w:val="20"/>
          <w:u w:color="000000"/>
        </w:rPr>
        <w:t>Název</w:t>
      </w:r>
      <w:proofErr w:type="spellEnd"/>
      <w:r>
        <w:rPr>
          <w:rFonts w:ascii="Tahoma" w:hAnsi="Tahoma"/>
          <w:b/>
          <w:bCs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0"/>
          <w:szCs w:val="20"/>
          <w:u w:color="000000"/>
        </w:rPr>
        <w:t>dotačního</w:t>
      </w:r>
      <w:proofErr w:type="spellEnd"/>
      <w:r>
        <w:rPr>
          <w:rFonts w:ascii="Tahoma" w:hAnsi="Tahoma"/>
          <w:b/>
          <w:bCs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/>
          <w:b/>
          <w:bCs/>
          <w:kern w:val="1"/>
          <w:sz w:val="20"/>
          <w:szCs w:val="20"/>
          <w:u w:color="000000"/>
        </w:rPr>
        <w:t>programu</w:t>
      </w:r>
      <w:proofErr w:type="spellEnd"/>
    </w:p>
    <w:p w14:paraId="298D2EFA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5"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pořízení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zdroje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vytápění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–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bezúročn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zápůjčky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(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dále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„Program“).</w:t>
      </w:r>
    </w:p>
    <w:p w14:paraId="284FF49A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 xml:space="preserve">II. Vyhlašovatel Programu, poskytovatel dotace </w:t>
      </w:r>
    </w:p>
    <w:p w14:paraId="1E67923C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Vyhlašovatelem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a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poskytovatelem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bezúročných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zápůjček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Obec</w:t>
      </w:r>
      <w:proofErr w:type="spellEnd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 xml:space="preserve"> </w:t>
      </w:r>
      <w:proofErr w:type="spellStart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Trojanovice</w:t>
      </w:r>
      <w:proofErr w:type="spellEnd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 xml:space="preserve">, </w:t>
      </w:r>
      <w:proofErr w:type="spellStart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Trojanovice</w:t>
      </w:r>
      <w:proofErr w:type="spellEnd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 xml:space="preserve"> </w:t>
      </w:r>
      <w:proofErr w:type="spellStart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č.p</w:t>
      </w:r>
      <w:proofErr w:type="spellEnd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 xml:space="preserve">. 210, 744 01 </w:t>
      </w:r>
      <w:proofErr w:type="spellStart"/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, IČ </w:t>
      </w:r>
      <w:r>
        <w:rPr>
          <w:rFonts w:ascii="Arial" w:hAnsi="Arial" w:cs="Arial Unicode MS"/>
          <w:color w:val="242424"/>
          <w:kern w:val="1"/>
          <w:sz w:val="20"/>
          <w:szCs w:val="20"/>
          <w:u w:color="242424"/>
        </w:rPr>
        <w:t>00298514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zastoupena</w:t>
      </w:r>
      <w:proofErr w:type="spellEnd"/>
      <w:r>
        <w:rPr>
          <w:rFonts w:ascii="Tahoma" w:hAnsi="Tahoma" w:cs="Arial Unicode MS"/>
          <w:color w:val="FF0000"/>
          <w:kern w:val="1"/>
          <w:sz w:val="20"/>
          <w:szCs w:val="20"/>
          <w:u w:color="FF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místostarostkou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.</w:t>
      </w:r>
    </w:p>
    <w:p w14:paraId="0661DCEB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 xml:space="preserve">III. Cíle a priority Programu (účel poskytnutí </w:t>
      </w:r>
      <w:proofErr w:type="spellStart"/>
      <w:r>
        <w:rPr>
          <w:rFonts w:ascii="Tahoma" w:hAnsi="Tahoma"/>
          <w:kern w:val="1"/>
          <w:sz w:val="20"/>
          <w:szCs w:val="20"/>
        </w:rPr>
        <w:t>návratn</w:t>
      </w:r>
      <w:proofErr w:type="spellEnd"/>
      <w:r>
        <w:rPr>
          <w:rFonts w:ascii="Tahoma" w:hAnsi="Tahoma"/>
          <w:kern w:val="1"/>
          <w:sz w:val="20"/>
          <w:szCs w:val="20"/>
          <w:lang w:val="fr-FR"/>
        </w:rPr>
        <w:t xml:space="preserve">é </w:t>
      </w:r>
      <w:r>
        <w:rPr>
          <w:rFonts w:ascii="Tahoma" w:hAnsi="Tahoma"/>
          <w:kern w:val="1"/>
          <w:sz w:val="20"/>
          <w:szCs w:val="20"/>
        </w:rPr>
        <w:t>finanční výpomoci)</w:t>
      </w:r>
    </w:p>
    <w:p w14:paraId="7364E408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Cílem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zajištění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předfinancování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výměn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nevyhovujících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kotlů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pevná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paliva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za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moderní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zdroje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tepla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it-IT"/>
        </w:rPr>
        <w:t xml:space="preserve"> spl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ňující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podmínky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117.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výzvy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Operačního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Životní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prostředí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(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dále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„OPŽP“)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rámci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specifick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cíle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2.1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domácnostech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formou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</w:p>
    <w:p w14:paraId="008CFDBF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jc w:val="both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>IV. Vymezení okruhu příjemců</w:t>
      </w:r>
    </w:p>
    <w:p w14:paraId="3BEF3F29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může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být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fyzická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osoba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která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vlastníkem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spoluvlastníkem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popř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vlastníkem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bytov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jednotky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území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,</w:t>
      </w:r>
    </w:p>
    <w:p w14:paraId="6456D944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72D9F50B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to za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splnění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všech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níže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uvedených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podmínek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:   </w:t>
      </w:r>
    </w:p>
    <w:p w14:paraId="2E9AA40E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7D9466B4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a)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vůči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prodlení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splněním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jak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koliv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peněžit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povinnosti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;  </w:t>
      </w:r>
    </w:p>
    <w:p w14:paraId="4134FB61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289C98F9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Calibri" w:eastAsia="Calibri" w:hAnsi="Calibri" w:cs="Calibri"/>
          <w:i/>
          <w:iCs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b)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žadatel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souhlasí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zpracováním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jeho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osobní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>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údajů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obcí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obsažených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v t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to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žádosti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ve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smyslu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zákona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č. 110/2019 Sb.,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zákona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zpracování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osobní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>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údajů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ve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znění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pozdějších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předpisů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, pro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účely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zpracování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žádosti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realizace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smlouvy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zápůjčce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Zároveň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si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je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vědom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/a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svých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práv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podle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zákona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č. 110/2019 Sb.,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zákona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zpracování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osobní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>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de-DE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údajů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Všechny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uvedené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údaje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jsou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přesn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fr-FR"/>
        </w:rPr>
        <w:t xml:space="preserve">é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pravdiv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  <w:lang w:val="fr-FR"/>
        </w:rPr>
        <w:t xml:space="preserve">é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jsou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poskytovány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dobrovolně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shd w:val="clear" w:color="auto" w:fill="FFFFFF"/>
        </w:rPr>
        <w:t>.</w:t>
      </w:r>
    </w:p>
    <w:p w14:paraId="1AA54F0B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  <w:shd w:val="clear" w:color="auto" w:fill="FFFFCC"/>
        </w:rPr>
      </w:pPr>
    </w:p>
    <w:p w14:paraId="52D61084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c)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it-IT"/>
        </w:rPr>
        <w:t xml:space="preserve">vo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naklá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nl-NL"/>
        </w:rPr>
        <w:t>dat s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rodinným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/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bytovou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jednotkou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nesmí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být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omezeno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soudcovským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zástavní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m pr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exekutorským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zástavní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m pr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zástavní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m pr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zřízeným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prospěch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příslušných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orgánů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pro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pohledávky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daních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pojistn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m na soci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ální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zabezpečení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pojistn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veřejn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zdravotní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pojištění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Rodinný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dům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/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bytová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jednotka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nesmí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být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době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podání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předmě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tem v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ýkonu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rozhodnutí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exekuce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Překážkou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zápůjčky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zástavní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právo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k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menšinov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mu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spoluvlastnick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mu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podílu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/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bytov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jednotce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nejedná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-li se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podíl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ani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skutečnost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předmě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tem v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ýkonu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rozhodnutí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exekuce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menšinový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spoluvlastnický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podíl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rodinn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/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bytov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jednotce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nejedná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-li se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podíl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;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zástava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z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důvodu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hypot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půjčky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pro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úpravu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bydlení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nejsou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překážkou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pro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zápůjčky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;</w:t>
      </w:r>
    </w:p>
    <w:p w14:paraId="794488A4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553B02F9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d)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vůči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právní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soudní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rozhodnutí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rozhodnutí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de-DE"/>
        </w:rPr>
        <w:t>spr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ho, da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ňov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jin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orgánu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veřejn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de-DE"/>
        </w:rPr>
        <w:t>spr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plnění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kter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by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mohlo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bý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t d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ůvodem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exekuce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;   </w:t>
      </w:r>
    </w:p>
    <w:p w14:paraId="53EDECFD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69A97A47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e)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nemá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nl-NL"/>
        </w:rPr>
        <w:t>k datu pod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evidovány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závazky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po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splatnosti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u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úřadu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vůči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státu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u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orgánů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veřejn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de-DE"/>
        </w:rPr>
        <w:t>spr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u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peněžního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ústavu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;   </w:t>
      </w:r>
    </w:p>
    <w:p w14:paraId="25C4E3DD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0D66689C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f)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vůči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nebyl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podán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zahájení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es-ES_tradnl"/>
        </w:rPr>
        <w:t>insolven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řízení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neexistují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skutečnosti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kter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by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umožňovaly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vedly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k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zahájení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es-ES_tradnl"/>
        </w:rPr>
        <w:t>insolven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řízení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žadatelův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majetek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z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hlediska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de-DE"/>
        </w:rPr>
        <w:t>konn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předpokladů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a to ani v 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dohledn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budoucnosti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nejm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1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roku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;   </w:t>
      </w:r>
    </w:p>
    <w:p w14:paraId="2CC7DB8D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0A3E7084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lastRenderedPageBreak/>
        <w:t xml:space="preserve">g)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skutečnostech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uvedených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tomto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odst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písm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a)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až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it-IT"/>
        </w:rPr>
        <w:t>f) dolo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čestn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prohlášení</w:t>
      </w:r>
      <w:proofErr w:type="spellEnd"/>
    </w:p>
    <w:p w14:paraId="186F2596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7B01B6B8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0BCB98C6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nelze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domáhat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soudní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cestou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právní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nárok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</w:p>
    <w:p w14:paraId="1CB09503" w14:textId="77777777" w:rsidR="00741E7E" w:rsidRPr="005D06DB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O n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ávratnou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lze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žádat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po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rozhodnutí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Rady MSK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dotace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uzavření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smlouvy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dotace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z MSK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rámci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Dotačního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OPŽP</w:t>
      </w:r>
      <w:r w:rsidR="00F14186"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nebo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“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Nová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zelená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úsporám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–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adaptační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a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mitigační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opatření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”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či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jiných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dotačních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 xml:space="preserve"> </w:t>
      </w:r>
      <w:proofErr w:type="spellStart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zdrojů</w:t>
      </w:r>
      <w:proofErr w:type="spellEnd"/>
      <w:r w:rsidR="00F14186" w:rsidRPr="005D06DB">
        <w:rPr>
          <w:rFonts w:ascii="Tahoma" w:hAnsi="Tahoma" w:cs="Arial Unicode MS"/>
          <w:kern w:val="1"/>
          <w:sz w:val="20"/>
          <w:szCs w:val="20"/>
          <w:u w:color="000000"/>
        </w:rPr>
        <w:t>.</w:t>
      </w:r>
    </w:p>
    <w:p w14:paraId="3D514698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720DF907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bude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poskytována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přednostně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žadatelům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kteří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projevili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zájem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rámci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průzkumu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.</w:t>
      </w:r>
    </w:p>
    <w:p w14:paraId="1D176A25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264FD6CC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5FF02347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V.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Podmínky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pro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poskytování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výpomoci</w:t>
      </w:r>
      <w:proofErr w:type="spellEnd"/>
    </w:p>
    <w:p w14:paraId="1A864C76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  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fyzickým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osobám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realizaci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výměny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nevyhovujícího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kotle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předložení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:</w:t>
      </w:r>
    </w:p>
    <w:p w14:paraId="2D301366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2865034D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-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–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bezúročn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zápůjčky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-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tiskopis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zveřejněn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</w:p>
    <w:p w14:paraId="463C733E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 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internetových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stránkách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k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dispozici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podatelně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OÚ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</w:p>
    <w:p w14:paraId="181DFC4D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5164C33B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b/>
          <w:bCs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  k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přikládá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it-IT"/>
        </w:rPr>
        <w:t>origin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ál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ověřená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kopie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smlouvy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dotace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z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rozpočtu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MSK   </w:t>
      </w:r>
    </w:p>
    <w:p w14:paraId="21A27D2F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b/>
          <w:bCs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  pro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účely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pořízení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fotokopie</w:t>
      </w:r>
      <w:proofErr w:type="spellEnd"/>
    </w:p>
    <w:p w14:paraId="71A94A3D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06920205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Výše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poskytovan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je v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částkách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nov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zdroje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tepla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:</w:t>
      </w:r>
    </w:p>
    <w:p w14:paraId="2A643709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tbl>
      <w:tblPr>
        <w:tblStyle w:val="TableNormal"/>
        <w:tblW w:w="964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3"/>
      </w:tblGrid>
      <w:tr w:rsidR="00741E7E" w14:paraId="7316706C" w14:textId="77777777">
        <w:trPr>
          <w:trHeight w:val="4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171B" w14:textId="77777777" w:rsidR="00741E7E" w:rsidRDefault="00A310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Typ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nov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  <w:lang w:val="fr-FR"/>
              </w:rPr>
              <w:t>é</w:t>
            </w:r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ho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zdroje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tepla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: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418C" w14:textId="77777777" w:rsidR="00741E7E" w:rsidRDefault="00A310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  <w:lang w:val="pt-PT"/>
              </w:rPr>
              <w:t>Maxim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ální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výše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podpory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na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realizaci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vlastního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projektu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za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jednu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provedenou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výměnu</w:t>
            </w:r>
            <w:proofErr w:type="spellEnd"/>
            <w:r>
              <w:rPr>
                <w:rFonts w:ascii="Tahoma" w:hAnsi="Tahom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</w:rPr>
              <w:t>:</w:t>
            </w:r>
          </w:p>
        </w:tc>
      </w:tr>
      <w:tr w:rsidR="00741E7E" w14:paraId="00EBD886" w14:textId="77777777" w:rsidTr="002C3CF9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D3E6" w14:textId="77777777" w:rsidR="00741E7E" w:rsidRPr="002C3CF9" w:rsidRDefault="00A310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sz w:val="22"/>
                <w:szCs w:val="22"/>
              </w:rPr>
            </w:pPr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      -   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Tepelné</w:t>
            </w:r>
            <w:proofErr w:type="spellEnd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čerpadlo</w:t>
            </w:r>
            <w:proofErr w:type="spellEnd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kotel</w:t>
            </w:r>
            <w:proofErr w:type="spellEnd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na</w:t>
            </w:r>
            <w:proofErr w:type="spellEnd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biomasu</w:t>
            </w:r>
            <w:proofErr w:type="spellEnd"/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F15A" w14:textId="77777777" w:rsidR="00741E7E" w:rsidRPr="002C3CF9" w:rsidRDefault="00A310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sz w:val="22"/>
                <w:szCs w:val="22"/>
              </w:rPr>
            </w:pPr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 xml:space="preserve">200 000,00 </w:t>
            </w:r>
            <w:proofErr w:type="spellStart"/>
            <w:r w:rsidRPr="002C3CF9">
              <w:rPr>
                <w:rFonts w:ascii="Tahoma" w:hAnsi="Tahoma" w:cs="Arial Unicode MS"/>
                <w:color w:val="000000"/>
                <w:kern w:val="1"/>
                <w:sz w:val="22"/>
                <w:szCs w:val="22"/>
                <w:u w:color="000000"/>
              </w:rPr>
              <w:t>Kč</w:t>
            </w:r>
            <w:proofErr w:type="spellEnd"/>
          </w:p>
        </w:tc>
      </w:tr>
      <w:tr w:rsidR="00741E7E" w14:paraId="35A4B302" w14:textId="77777777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4373" w14:textId="77777777" w:rsidR="00741E7E" w:rsidRPr="002C3CF9" w:rsidRDefault="00A310C2">
            <w:pPr>
              <w:numPr>
                <w:ilvl w:val="0"/>
                <w:numId w:val="1"/>
              </w:numPr>
              <w:spacing w:after="200" w:line="276" w:lineRule="auto"/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</w:pPr>
            <w:proofErr w:type="spellStart"/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  <w:t>Plynový</w:t>
            </w:r>
            <w:proofErr w:type="spellEnd"/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  <w:lang w:val="it-IT"/>
              </w:rPr>
              <w:t>kondenza</w:t>
            </w:r>
            <w:proofErr w:type="spellStart"/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  <w:t>ční</w:t>
            </w:r>
            <w:proofErr w:type="spellEnd"/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2C3CF9">
              <w:rPr>
                <w:rFonts w:ascii="Tahoma" w:eastAsia="Calibri" w:hAnsi="Tahoma" w:cs="Tahoma"/>
                <w:color w:val="000000"/>
                <w:kern w:val="1"/>
                <w:sz w:val="22"/>
                <w:szCs w:val="22"/>
                <w:u w:color="000000"/>
              </w:rPr>
              <w:t>kotel</w:t>
            </w:r>
            <w:proofErr w:type="spellEnd"/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8A83" w14:textId="77777777" w:rsidR="00741E7E" w:rsidRPr="002C3CF9" w:rsidRDefault="00A310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Tahoma" w:hAnsi="Tahoma" w:cs="Tahoma"/>
                <w:sz w:val="22"/>
                <w:szCs w:val="22"/>
              </w:rPr>
            </w:pPr>
            <w:r w:rsidRPr="002C3CF9">
              <w:rPr>
                <w:rFonts w:ascii="Tahoma" w:hAnsi="Tahoma" w:cs="Tahoma"/>
                <w:color w:val="000000"/>
                <w:kern w:val="1"/>
                <w:sz w:val="22"/>
                <w:szCs w:val="22"/>
                <w:u w:color="000000"/>
              </w:rPr>
              <w:t xml:space="preserve">150 000,00 </w:t>
            </w:r>
            <w:proofErr w:type="spellStart"/>
            <w:r w:rsidRPr="002C3CF9">
              <w:rPr>
                <w:rFonts w:ascii="Tahoma" w:hAnsi="Tahoma" w:cs="Tahoma"/>
                <w:color w:val="000000"/>
                <w:kern w:val="1"/>
                <w:sz w:val="22"/>
                <w:szCs w:val="22"/>
                <w:u w:color="000000"/>
              </w:rPr>
              <w:t>Kč</w:t>
            </w:r>
            <w:proofErr w:type="spellEnd"/>
          </w:p>
        </w:tc>
      </w:tr>
    </w:tbl>
    <w:p w14:paraId="0A743164" w14:textId="77777777" w:rsidR="00741E7E" w:rsidRDefault="00741E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5" w:hanging="55"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26977EC1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1CE67926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</w:p>
    <w:p w14:paraId="50C261C6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Výše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uveden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budou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hrazeny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z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prostředků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nl-NL"/>
        </w:rPr>
        <w:t>Opera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Životní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prostředí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2014 – 2020 (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dále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„OPŽP“),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projektu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r w:rsidR="00012F03" w:rsidRPr="00286808">
        <w:rPr>
          <w:rStyle w:val="Zdraznn"/>
          <w:rFonts w:cs="Tahoma"/>
          <w:szCs w:val="20"/>
        </w:rPr>
        <w:t xml:space="preserve">“) </w:t>
      </w:r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o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celkovém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předpokládaném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objemu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peněžních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prostředků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ve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výši</w:t>
      </w:r>
      <w:proofErr w:type="spellEnd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 xml:space="preserve">         4 000 000 </w:t>
      </w:r>
      <w:proofErr w:type="spellStart"/>
      <w:r w:rsidR="00012F03" w:rsidRPr="00012F03">
        <w:rPr>
          <w:rStyle w:val="Zdraznn"/>
          <w:rFonts w:ascii="Tahoma" w:hAnsi="Tahoma" w:cs="Tahoma"/>
          <w:i w:val="0"/>
          <w:iCs w:val="0"/>
          <w:sz w:val="20"/>
          <w:szCs w:val="20"/>
        </w:rPr>
        <w:t>Kč</w:t>
      </w:r>
      <w:proofErr w:type="spellEnd"/>
      <w:r w:rsidR="00012F03" w:rsidRPr="00286808">
        <w:rPr>
          <w:rStyle w:val="Zdraznn"/>
          <w:rFonts w:cs="Tahoma"/>
          <w:szCs w:val="20"/>
        </w:rPr>
        <w:t xml:space="preserve">, z </w:t>
      </w:r>
      <w:proofErr w:type="spellStart"/>
      <w:r w:rsidR="00012F03" w:rsidRPr="00286808">
        <w:rPr>
          <w:rFonts w:cs="Tahoma"/>
          <w:szCs w:val="20"/>
        </w:rPr>
        <w:t>projektu</w:t>
      </w:r>
      <w:proofErr w:type="spellEnd"/>
      <w:r w:rsidR="00012F03" w:rsidRPr="00286808">
        <w:rPr>
          <w:rFonts w:cs="Tahoma"/>
          <w:b/>
          <w:szCs w:val="20"/>
        </w:rPr>
        <w:t xml:space="preserve"> 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„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podpory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rámci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podporu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výměny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nevyhovujících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kotlů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pevná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paliva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domácnostech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úspor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energie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další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pt-PT"/>
        </w:rPr>
        <w:t>ch adapta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ční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de-DE"/>
        </w:rPr>
        <w:t>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de-DE"/>
        </w:rPr>
        <w:t xml:space="preserve"> 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č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de-DE"/>
        </w:rPr>
        <w:t xml:space="preserve">i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de-DE"/>
        </w:rPr>
        <w:t>mitiga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čních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opatření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vztahu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změně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klimatu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obcích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Karlovarsk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ho,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Moravskoslezsk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es-ES_tradnl"/>
        </w:rPr>
        <w:t xml:space="preserve">ho a 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Ú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de-DE"/>
        </w:rPr>
        <w:t>steck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kraje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“.</w:t>
      </w:r>
    </w:p>
    <w:p w14:paraId="4C2DC0E5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124DF479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bude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bezhotovostně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bankovní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da-DK"/>
        </w:rPr>
        <w:t>et p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dvou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platbách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, a to po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uzavření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Smlouvy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 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Programu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pro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poskytování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dotací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nebo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návratný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sv-SE"/>
        </w:rPr>
        <w:t>ch finan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čních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. 50 %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částky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bude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poskytnuta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do 15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pracovních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ode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dne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kdy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předloží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poskytovateli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písemný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souhlas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s 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inkasem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 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účtu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prospěch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poskytovatele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částku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rovnou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dotaci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výměnu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nevyhovujícího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zdroje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tepla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 OPŽP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nebo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“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Nová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zelená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úsporám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–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adaptační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a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mitigační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opatření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”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či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jiných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dotačních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proofErr w:type="spellStart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>zdrojů</w:t>
      </w:r>
      <w:proofErr w:type="spellEnd"/>
      <w:r w:rsidR="00A203B6" w:rsidRPr="005D06DB">
        <w:rPr>
          <w:rFonts w:ascii="Segoe UI" w:eastAsia="Segoe UI" w:hAnsi="Segoe UI" w:cs="Segoe UI"/>
          <w:kern w:val="1"/>
          <w:sz w:val="20"/>
          <w:szCs w:val="20"/>
          <w:u w:color="000000"/>
        </w:rPr>
        <w:t xml:space="preserve"> 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od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Krajsk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úřadu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dotace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prostředků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Moravskoslezsk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kraje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.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Zbylý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de-DE"/>
        </w:rPr>
        <w:t>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de-DE"/>
        </w:rPr>
        <w:t xml:space="preserve"> 50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 %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částky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bude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zaslána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do 10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pracovních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od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předložení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kopie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faktury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za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nový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zdroj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tepla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. </w:t>
      </w:r>
    </w:p>
    <w:p w14:paraId="53A89348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05271C62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Dále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povinen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zřídit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prospěch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poskytovatele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souhlas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s 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inkasem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sv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účtu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, a to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částky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a v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termínech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stanovených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splátkovým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kalendářem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až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pt-PT"/>
        </w:rPr>
        <w:t>do v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ýše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úpln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zaplacení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. 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Písemný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souhlas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s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inkasem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z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účtu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prospěch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poskytovatele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částky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stanoven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splátkovým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lastRenderedPageBreak/>
        <w:t>kalendář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pt-PT"/>
        </w:rPr>
        <w:t>em p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předloží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do 10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pracovních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od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účinnosti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Smlouvy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.</w:t>
      </w:r>
    </w:p>
    <w:p w14:paraId="48788C4E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53AB68B9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pt-PT"/>
        </w:rPr>
        <w:t>Maxim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ální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doba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splácení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je 10 let. </w:t>
      </w:r>
    </w:p>
    <w:p w14:paraId="71DD599F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53C40F7D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Příjemce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je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oprávněn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návratnou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výpomoc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splatit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kdykoliv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předčasně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a bez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sankce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.</w:t>
      </w:r>
    </w:p>
    <w:p w14:paraId="23930973" w14:textId="77777777" w:rsidR="009A3D09" w:rsidRDefault="009A3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</w:pPr>
    </w:p>
    <w:p w14:paraId="5ADE4EDA" w14:textId="77777777" w:rsidR="009A3D09" w:rsidRDefault="009344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K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vyplacení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dojde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nejdříve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po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připsání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peněžních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prostředků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od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SFŽP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účet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obce</w:t>
      </w:r>
      <w:proofErr w:type="spellEnd"/>
      <w:r>
        <w:rPr>
          <w:rFonts w:ascii="Segoe UI" w:eastAsia="Segoe UI" w:hAnsi="Segoe UI" w:cs="Segoe UI"/>
          <w:color w:val="000000"/>
          <w:kern w:val="1"/>
          <w:sz w:val="20"/>
          <w:szCs w:val="20"/>
          <w:u w:color="000000"/>
        </w:rPr>
        <w:t>.</w:t>
      </w:r>
    </w:p>
    <w:p w14:paraId="1D83E560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68036818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Dokončení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výměn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nevyhovujících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kotlů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domácnostech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musí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být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provedeny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do  31. 12. 2021.</w:t>
      </w:r>
    </w:p>
    <w:p w14:paraId="65BD40DA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286DC6C2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 xml:space="preserve">VI. Předkládání žádostí </w:t>
      </w:r>
      <w:r>
        <w:rPr>
          <w:rFonts w:ascii="Tahoma" w:hAnsi="Tahoma"/>
          <w:kern w:val="1"/>
          <w:sz w:val="20"/>
          <w:szCs w:val="20"/>
          <w:lang w:val="en-US"/>
        </w:rPr>
        <w:t xml:space="preserve">o </w:t>
      </w:r>
      <w:r>
        <w:rPr>
          <w:rFonts w:ascii="Tahoma" w:hAnsi="Tahoma"/>
          <w:kern w:val="1"/>
          <w:sz w:val="20"/>
          <w:szCs w:val="20"/>
        </w:rPr>
        <w:t>návratnou finanční výpomoc</w:t>
      </w:r>
    </w:p>
    <w:p w14:paraId="166ED8F8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eastAsia="Tahoma" w:hAnsi="Tahoma" w:cs="Tahoma"/>
          <w:color w:val="000000"/>
          <w:kern w:val="1"/>
          <w:sz w:val="20"/>
          <w:szCs w:val="20"/>
          <w:u w:color="000000"/>
          <w:shd w:val="clear" w:color="auto" w:fill="FFFF00"/>
        </w:rPr>
      </w:pPr>
    </w:p>
    <w:p w14:paraId="3586696D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Způsob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podání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žádosti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:</w:t>
      </w:r>
    </w:p>
    <w:p w14:paraId="00875172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podává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listinn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podobě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na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podatelně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Obecního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úřadu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Trojanovice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.</w:t>
      </w:r>
    </w:p>
    <w:p w14:paraId="624C2388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1DFBFD30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návratn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výpomoci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i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přílohy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se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podávají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česk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m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jazyce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.</w:t>
      </w:r>
    </w:p>
    <w:p w14:paraId="672CE524" w14:textId="77777777" w:rsidR="00741E7E" w:rsidRDefault="00741E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</w:rPr>
      </w:pPr>
    </w:p>
    <w:p w14:paraId="405F7397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ahoma" w:eastAsia="Tahoma" w:hAnsi="Tahoma" w:cs="Tahoma"/>
          <w:color w:val="000000"/>
          <w:kern w:val="1"/>
          <w:sz w:val="20"/>
          <w:szCs w:val="20"/>
          <w:u w:color="000000"/>
          <w:shd w:val="clear" w:color="auto" w:fill="FFFF00"/>
        </w:rPr>
      </w:pP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Pokud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bude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poskytnutí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finanční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podpory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vykazovat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formální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nedostatky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vyzve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poskytovatel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žadatele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k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jejich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odstranění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v 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náhradní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pt-PT"/>
        </w:rPr>
        <w:t>m term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ínu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.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Pokud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tak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žadatel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do 15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pracovních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dní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de-DE"/>
        </w:rPr>
        <w:t>neu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činí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nebude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jeho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doporučena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ke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schválení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.</w:t>
      </w:r>
    </w:p>
    <w:p w14:paraId="28E235B5" w14:textId="77777777" w:rsidR="00741E7E" w:rsidRDefault="00741E7E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</w:p>
    <w:p w14:paraId="09333008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 xml:space="preserve">VII. Oznamování změn údajů uvedených v žádosti o poskytnutí </w:t>
      </w:r>
      <w:proofErr w:type="spellStart"/>
      <w:r>
        <w:rPr>
          <w:rFonts w:ascii="Tahoma" w:hAnsi="Tahoma"/>
          <w:kern w:val="1"/>
          <w:sz w:val="20"/>
          <w:szCs w:val="20"/>
        </w:rPr>
        <w:t>návratn</w:t>
      </w:r>
      <w:proofErr w:type="spellEnd"/>
      <w:r>
        <w:rPr>
          <w:rFonts w:ascii="Tahoma" w:hAnsi="Tahoma"/>
          <w:kern w:val="1"/>
          <w:sz w:val="20"/>
          <w:szCs w:val="20"/>
          <w:lang w:val="fr-FR"/>
        </w:rPr>
        <w:t xml:space="preserve">é </w:t>
      </w:r>
      <w:r>
        <w:rPr>
          <w:rFonts w:ascii="Tahoma" w:hAnsi="Tahoma"/>
          <w:kern w:val="1"/>
          <w:sz w:val="20"/>
          <w:szCs w:val="20"/>
        </w:rPr>
        <w:t>finanční výpomoci</w:t>
      </w:r>
      <w:r>
        <w:rPr>
          <w:rFonts w:ascii="Tahoma" w:hAnsi="Tahoma"/>
          <w:b w:val="0"/>
          <w:bCs w:val="0"/>
          <w:kern w:val="1"/>
          <w:sz w:val="20"/>
          <w:szCs w:val="20"/>
        </w:rPr>
        <w:t xml:space="preserve"> </w:t>
      </w:r>
    </w:p>
    <w:p w14:paraId="0BC65D21" w14:textId="77777777" w:rsidR="00741E7E" w:rsidRDefault="00A310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Calibri" w:hAnsi="Tahoma" w:cs="Calibri"/>
          <w:sz w:val="20"/>
          <w:szCs w:val="20"/>
        </w:rPr>
        <w:t>Žadatel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je </w:t>
      </w:r>
      <w:proofErr w:type="spellStart"/>
      <w:r>
        <w:rPr>
          <w:rFonts w:ascii="Tahoma" w:eastAsia="Calibri" w:hAnsi="Tahoma" w:cs="Calibri"/>
          <w:sz w:val="20"/>
          <w:szCs w:val="20"/>
        </w:rPr>
        <w:t>povinen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oznámit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poskytovateli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návratn</w:t>
      </w:r>
      <w:proofErr w:type="spellEnd"/>
      <w:r>
        <w:rPr>
          <w:rFonts w:ascii="Tahoma" w:eastAsia="Calibri" w:hAnsi="Tahoma" w:cs="Calibri"/>
          <w:sz w:val="20"/>
          <w:szCs w:val="20"/>
          <w:lang w:val="fr-FR"/>
        </w:rPr>
        <w:t xml:space="preserve">é </w:t>
      </w:r>
      <w:proofErr w:type="spellStart"/>
      <w:r>
        <w:rPr>
          <w:rFonts w:ascii="Tahoma" w:eastAsia="Calibri" w:hAnsi="Tahoma" w:cs="Calibri"/>
          <w:sz w:val="20"/>
          <w:szCs w:val="20"/>
        </w:rPr>
        <w:t>finanční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výpomoci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změny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identifikačních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a </w:t>
      </w:r>
      <w:proofErr w:type="spellStart"/>
      <w:r>
        <w:rPr>
          <w:rFonts w:ascii="Tahoma" w:eastAsia="Calibri" w:hAnsi="Tahoma" w:cs="Calibri"/>
          <w:sz w:val="20"/>
          <w:szCs w:val="20"/>
        </w:rPr>
        <w:t>kontaktních</w:t>
      </w:r>
      <w:proofErr w:type="spellEnd"/>
    </w:p>
    <w:p w14:paraId="53EF73A2" w14:textId="77777777" w:rsidR="00741E7E" w:rsidRDefault="00A310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Calibri" w:hAnsi="Tahoma" w:cs="Calibri"/>
          <w:sz w:val="20"/>
          <w:szCs w:val="20"/>
        </w:rPr>
        <w:t>údajů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: </w:t>
      </w:r>
      <w:proofErr w:type="spellStart"/>
      <w:r>
        <w:rPr>
          <w:rFonts w:ascii="Tahoma" w:eastAsia="Calibri" w:hAnsi="Tahoma" w:cs="Calibri"/>
          <w:sz w:val="20"/>
          <w:szCs w:val="20"/>
        </w:rPr>
        <w:t>změna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příjmení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, </w:t>
      </w:r>
      <w:proofErr w:type="spellStart"/>
      <w:r>
        <w:rPr>
          <w:rFonts w:ascii="Tahoma" w:eastAsia="Calibri" w:hAnsi="Tahoma" w:cs="Calibri"/>
          <w:sz w:val="20"/>
          <w:szCs w:val="20"/>
        </w:rPr>
        <w:t>změna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adresy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trval</w:t>
      </w:r>
      <w:proofErr w:type="spellEnd"/>
      <w:r>
        <w:rPr>
          <w:rFonts w:ascii="Tahoma" w:eastAsia="Calibri" w:hAnsi="Tahoma" w:cs="Calibri"/>
          <w:sz w:val="20"/>
          <w:szCs w:val="20"/>
          <w:lang w:val="fr-FR"/>
        </w:rPr>
        <w:t>é</w:t>
      </w:r>
      <w:r>
        <w:rPr>
          <w:rFonts w:ascii="Tahoma" w:eastAsia="Calibri" w:hAnsi="Tahoma" w:cs="Calibri"/>
          <w:sz w:val="20"/>
          <w:szCs w:val="20"/>
        </w:rPr>
        <w:t xml:space="preserve">ho </w:t>
      </w:r>
      <w:proofErr w:type="spellStart"/>
      <w:r>
        <w:rPr>
          <w:rFonts w:ascii="Tahoma" w:eastAsia="Calibri" w:hAnsi="Tahoma" w:cs="Calibri"/>
          <w:sz w:val="20"/>
          <w:szCs w:val="20"/>
        </w:rPr>
        <w:t>pobytu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, </w:t>
      </w:r>
      <w:proofErr w:type="spellStart"/>
      <w:r>
        <w:rPr>
          <w:rFonts w:ascii="Tahoma" w:eastAsia="Calibri" w:hAnsi="Tahoma" w:cs="Calibri"/>
          <w:sz w:val="20"/>
          <w:szCs w:val="20"/>
        </w:rPr>
        <w:t>změna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kontaktní</w:t>
      </w:r>
      <w:r>
        <w:rPr>
          <w:rFonts w:ascii="Tahoma" w:eastAsia="Calibri" w:hAnsi="Tahoma" w:cs="Calibri"/>
          <w:sz w:val="20"/>
          <w:szCs w:val="20"/>
          <w:lang w:val="de-DE"/>
        </w:rPr>
        <w:t>ch</w:t>
      </w:r>
      <w:proofErr w:type="spellEnd"/>
      <w:r>
        <w:rPr>
          <w:rFonts w:ascii="Tahoma" w:eastAsia="Calibri" w:hAnsi="Tahoma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údajů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– </w:t>
      </w:r>
      <w:r>
        <w:rPr>
          <w:rFonts w:ascii="Tahoma" w:eastAsia="Calibri" w:hAnsi="Tahoma" w:cs="Calibri"/>
          <w:sz w:val="20"/>
          <w:szCs w:val="20"/>
          <w:lang w:val="es-ES_tradnl"/>
        </w:rPr>
        <w:t>koresponden</w:t>
      </w:r>
      <w:proofErr w:type="spellStart"/>
      <w:r>
        <w:rPr>
          <w:rFonts w:ascii="Tahoma" w:eastAsia="Calibri" w:hAnsi="Tahoma" w:cs="Calibri"/>
          <w:sz w:val="20"/>
          <w:szCs w:val="20"/>
        </w:rPr>
        <w:t>ční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adresa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, </w:t>
      </w:r>
      <w:proofErr w:type="spellStart"/>
      <w:r>
        <w:rPr>
          <w:rFonts w:ascii="Tahoma" w:eastAsia="Calibri" w:hAnsi="Tahoma" w:cs="Calibri"/>
          <w:sz w:val="20"/>
          <w:szCs w:val="20"/>
        </w:rPr>
        <w:t>telefonní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a e-</w:t>
      </w:r>
      <w:proofErr w:type="spellStart"/>
      <w:r>
        <w:rPr>
          <w:rFonts w:ascii="Tahoma" w:eastAsia="Calibri" w:hAnsi="Tahoma" w:cs="Calibri"/>
          <w:sz w:val="20"/>
          <w:szCs w:val="20"/>
        </w:rPr>
        <w:t>mailový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kontakt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, </w:t>
      </w:r>
      <w:proofErr w:type="spellStart"/>
      <w:r>
        <w:rPr>
          <w:rFonts w:ascii="Tahoma" w:eastAsia="Calibri" w:hAnsi="Tahoma" w:cs="Calibri"/>
          <w:sz w:val="20"/>
          <w:szCs w:val="20"/>
        </w:rPr>
        <w:t>změna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čísla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bankovního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účtu</w:t>
      </w:r>
      <w:proofErr w:type="spellEnd"/>
      <w:r>
        <w:rPr>
          <w:rFonts w:ascii="Tahoma" w:eastAsia="Calibri" w:hAnsi="Tahoma" w:cs="Calibri"/>
          <w:sz w:val="20"/>
          <w:szCs w:val="20"/>
        </w:rPr>
        <w:t>, jak</w:t>
      </w:r>
      <w:r>
        <w:rPr>
          <w:rFonts w:ascii="Tahoma" w:eastAsia="Calibri" w:hAnsi="Tahoma" w:cs="Calibri"/>
          <w:sz w:val="20"/>
          <w:szCs w:val="20"/>
          <w:lang w:val="fr-FR"/>
        </w:rPr>
        <w:t>é</w:t>
      </w:r>
      <w:proofErr w:type="spellStart"/>
      <w:r>
        <w:rPr>
          <w:rFonts w:ascii="Tahoma" w:eastAsia="Calibri" w:hAnsi="Tahoma" w:cs="Calibri"/>
          <w:sz w:val="20"/>
          <w:szCs w:val="20"/>
        </w:rPr>
        <w:t>koliv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změny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v </w:t>
      </w:r>
      <w:proofErr w:type="spellStart"/>
      <w:r>
        <w:rPr>
          <w:rFonts w:ascii="Tahoma" w:eastAsia="Calibri" w:hAnsi="Tahoma" w:cs="Calibri"/>
          <w:sz w:val="20"/>
          <w:szCs w:val="20"/>
        </w:rPr>
        <w:t>předmětu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žádosti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o </w:t>
      </w:r>
      <w:proofErr w:type="spellStart"/>
      <w:r>
        <w:rPr>
          <w:rFonts w:ascii="Tahoma" w:eastAsia="Calibri" w:hAnsi="Tahoma" w:cs="Calibri"/>
          <w:sz w:val="20"/>
          <w:szCs w:val="20"/>
        </w:rPr>
        <w:t>návratnou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finanční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výpomoc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a </w:t>
      </w:r>
      <w:proofErr w:type="spellStart"/>
      <w:r>
        <w:rPr>
          <w:rFonts w:ascii="Tahoma" w:eastAsia="Calibri" w:hAnsi="Tahoma" w:cs="Calibri"/>
          <w:sz w:val="20"/>
          <w:szCs w:val="20"/>
        </w:rPr>
        <w:t>změny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ve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smlouvě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uzavřen</w:t>
      </w:r>
      <w:proofErr w:type="spellEnd"/>
      <w:r>
        <w:rPr>
          <w:rFonts w:ascii="Tahoma" w:eastAsia="Calibri" w:hAnsi="Tahoma" w:cs="Calibri"/>
          <w:sz w:val="20"/>
          <w:szCs w:val="20"/>
          <w:lang w:val="fr-FR"/>
        </w:rPr>
        <w:t xml:space="preserve">é </w:t>
      </w:r>
      <w:r>
        <w:rPr>
          <w:rFonts w:ascii="Tahoma" w:eastAsia="Calibri" w:hAnsi="Tahoma" w:cs="Calibri"/>
          <w:sz w:val="20"/>
          <w:szCs w:val="20"/>
        </w:rPr>
        <w:t xml:space="preserve">s </w:t>
      </w:r>
      <w:proofErr w:type="spellStart"/>
      <w:r>
        <w:rPr>
          <w:rFonts w:ascii="Tahoma" w:eastAsia="Calibri" w:hAnsi="Tahoma" w:cs="Calibri"/>
          <w:sz w:val="20"/>
          <w:szCs w:val="20"/>
        </w:rPr>
        <w:t>Moravskoslezským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Calibri"/>
          <w:sz w:val="20"/>
          <w:szCs w:val="20"/>
        </w:rPr>
        <w:t>krajem</w:t>
      </w:r>
      <w:proofErr w:type="spellEnd"/>
      <w:r>
        <w:rPr>
          <w:rFonts w:ascii="Tahoma" w:eastAsia="Calibri" w:hAnsi="Tahoma" w:cs="Calibri"/>
          <w:sz w:val="20"/>
          <w:szCs w:val="20"/>
        </w:rPr>
        <w:t xml:space="preserve"> o </w:t>
      </w:r>
      <w:proofErr w:type="spellStart"/>
      <w:r>
        <w:rPr>
          <w:rFonts w:ascii="Tahoma" w:eastAsia="Calibri" w:hAnsi="Tahoma" w:cs="Calibri"/>
          <w:sz w:val="20"/>
          <w:szCs w:val="20"/>
        </w:rPr>
        <w:t>dotaci</w:t>
      </w:r>
      <w:proofErr w:type="spellEnd"/>
      <w:r>
        <w:rPr>
          <w:rFonts w:ascii="Tahoma" w:eastAsia="Calibri" w:hAnsi="Tahoma" w:cs="Calibri"/>
          <w:sz w:val="20"/>
          <w:szCs w:val="20"/>
        </w:rPr>
        <w:t>.</w:t>
      </w:r>
    </w:p>
    <w:p w14:paraId="2433F3FB" w14:textId="77777777" w:rsidR="00741E7E" w:rsidRDefault="00741E7E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</w:p>
    <w:p w14:paraId="7823ADC3" w14:textId="77777777" w:rsidR="00741E7E" w:rsidRDefault="00A310C2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27" w:after="28"/>
        <w:rPr>
          <w:rFonts w:ascii="Tahoma" w:eastAsia="Tahoma" w:hAnsi="Tahoma" w:cs="Tahoma"/>
          <w:kern w:val="1"/>
          <w:sz w:val="20"/>
          <w:szCs w:val="20"/>
        </w:rPr>
      </w:pPr>
      <w:r>
        <w:rPr>
          <w:rFonts w:ascii="Tahoma" w:hAnsi="Tahoma"/>
          <w:kern w:val="1"/>
          <w:sz w:val="20"/>
          <w:szCs w:val="20"/>
        </w:rPr>
        <w:t>VIII. Účinnost</w:t>
      </w:r>
    </w:p>
    <w:p w14:paraId="0BCDF9EB" w14:textId="06DE005E" w:rsidR="00741E7E" w:rsidRDefault="005D06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Tahoma" w:hAnsi="Tahoma" w:cs="Arial Unicode MS"/>
          <w:kern w:val="1"/>
          <w:sz w:val="20"/>
          <w:szCs w:val="20"/>
          <w:u w:color="FF0000"/>
        </w:rPr>
      </w:pPr>
      <w:r>
        <w:rPr>
          <w:rFonts w:ascii="Tahoma" w:hAnsi="Tahoma" w:cs="Arial Unicode MS"/>
          <w:kern w:val="1"/>
          <w:sz w:val="20"/>
          <w:szCs w:val="20"/>
          <w:u w:color="FF0000"/>
          <w:lang w:val="pt-PT"/>
        </w:rPr>
        <w:t>D</w:t>
      </w:r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  <w:lang w:val="pt-PT"/>
        </w:rPr>
        <w:t>ota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ční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program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byl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schválen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usnesením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zastupitelstva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obce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Trojanovice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č. </w:t>
      </w:r>
      <w:r w:rsidR="00BC3AFE" w:rsidRPr="00FF740B">
        <w:rPr>
          <w:rFonts w:ascii="Tahoma" w:hAnsi="Tahoma" w:cs="Arial Unicode MS"/>
          <w:kern w:val="1"/>
          <w:sz w:val="20"/>
          <w:szCs w:val="20"/>
          <w:u w:color="FF0000"/>
        </w:rPr>
        <w:t>5/22</w:t>
      </w:r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ze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dne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r w:rsidR="00BC3AFE" w:rsidRPr="00FF740B">
        <w:rPr>
          <w:rFonts w:ascii="Tahoma" w:hAnsi="Tahoma" w:cs="Arial Unicode MS"/>
          <w:kern w:val="1"/>
          <w:sz w:val="20"/>
          <w:szCs w:val="20"/>
          <w:u w:color="FF0000"/>
        </w:rPr>
        <w:t>24.6.</w:t>
      </w:r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2019 a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nab</w:t>
      </w:r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yl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účinnosti</w:t>
      </w:r>
      <w:proofErr w:type="spellEnd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>dne</w:t>
      </w:r>
      <w:proofErr w:type="spellEnd"/>
      <w:r w:rsidR="00FF740B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25.6.</w:t>
      </w:r>
      <w:r w:rsidR="00A310C2" w:rsidRPr="00FF740B">
        <w:rPr>
          <w:rFonts w:ascii="Tahoma" w:hAnsi="Tahoma" w:cs="Arial Unicode MS"/>
          <w:kern w:val="1"/>
          <w:sz w:val="20"/>
          <w:szCs w:val="20"/>
          <w:u w:color="FF0000"/>
        </w:rPr>
        <w:t xml:space="preserve"> 2019</w:t>
      </w:r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,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úpravu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znění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č.1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schválilo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zastupitelstvo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obce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Trojanovice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usnesením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č. 11/36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ze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>dne</w:t>
      </w:r>
      <w:proofErr w:type="spellEnd"/>
      <w:r w:rsidR="00243C6D">
        <w:rPr>
          <w:rFonts w:ascii="Tahoma" w:hAnsi="Tahoma" w:cs="Arial Unicode MS"/>
          <w:kern w:val="1"/>
          <w:sz w:val="20"/>
          <w:szCs w:val="20"/>
          <w:u w:color="FF0000"/>
        </w:rPr>
        <w:t xml:space="preserve"> 29.6.2020 </w:t>
      </w:r>
    </w:p>
    <w:p w14:paraId="77F96B62" w14:textId="77777777" w:rsidR="00840F48" w:rsidRDefault="00840F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Tahoma" w:hAnsi="Tahoma" w:cs="Arial Unicode MS"/>
          <w:kern w:val="1"/>
          <w:sz w:val="20"/>
          <w:szCs w:val="20"/>
          <w:u w:color="FF0000"/>
        </w:rPr>
      </w:pPr>
    </w:p>
    <w:p w14:paraId="36998597" w14:textId="77777777" w:rsidR="00840F48" w:rsidRPr="00840F48" w:rsidRDefault="00840F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Tahoma" w:hAnsi="Tahoma" w:cs="Arial Unicode MS"/>
          <w:b/>
          <w:bCs/>
          <w:kern w:val="1"/>
          <w:sz w:val="20"/>
          <w:szCs w:val="20"/>
          <w:u w:color="FF0000"/>
        </w:rPr>
      </w:pPr>
      <w:r w:rsidRPr="00840F48">
        <w:rPr>
          <w:rFonts w:ascii="Tahoma" w:hAnsi="Tahoma" w:cs="Arial Unicode MS"/>
          <w:b/>
          <w:bCs/>
          <w:kern w:val="1"/>
          <w:sz w:val="20"/>
          <w:szCs w:val="20"/>
          <w:u w:color="FF0000"/>
        </w:rPr>
        <w:t xml:space="preserve">IX. </w:t>
      </w:r>
      <w:proofErr w:type="spellStart"/>
      <w:r w:rsidRPr="00840F48">
        <w:rPr>
          <w:rFonts w:ascii="Tahoma" w:hAnsi="Tahoma" w:cs="Arial Unicode MS"/>
          <w:b/>
          <w:bCs/>
          <w:kern w:val="1"/>
          <w:sz w:val="20"/>
          <w:szCs w:val="20"/>
          <w:u w:color="FF0000"/>
        </w:rPr>
        <w:t>Příjem</w:t>
      </w:r>
      <w:proofErr w:type="spellEnd"/>
      <w:r w:rsidRPr="00840F48">
        <w:rPr>
          <w:rFonts w:ascii="Tahoma" w:hAnsi="Tahoma" w:cs="Arial Unicode MS"/>
          <w:b/>
          <w:bCs/>
          <w:kern w:val="1"/>
          <w:sz w:val="20"/>
          <w:szCs w:val="20"/>
          <w:u w:color="FF0000"/>
        </w:rPr>
        <w:t xml:space="preserve"> </w:t>
      </w:r>
      <w:proofErr w:type="spellStart"/>
      <w:r w:rsidRPr="00840F48">
        <w:rPr>
          <w:rFonts w:ascii="Tahoma" w:hAnsi="Tahoma" w:cs="Arial Unicode MS"/>
          <w:b/>
          <w:bCs/>
          <w:kern w:val="1"/>
          <w:sz w:val="20"/>
          <w:szCs w:val="20"/>
          <w:u w:color="FF0000"/>
        </w:rPr>
        <w:t>žádostí</w:t>
      </w:r>
      <w:proofErr w:type="spellEnd"/>
    </w:p>
    <w:p w14:paraId="3AA6B66A" w14:textId="77777777" w:rsidR="00741E7E" w:rsidRDefault="00840F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Tahoma" w:hAnsi="Tahoma" w:cs="Arial Unicode MS"/>
          <w:color w:val="FF0000"/>
          <w:kern w:val="1"/>
          <w:sz w:val="20"/>
          <w:szCs w:val="20"/>
          <w:u w:color="FF0000"/>
        </w:rPr>
      </w:pPr>
      <w:proofErr w:type="spellStart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>Žádosti</w:t>
      </w:r>
      <w:proofErr w:type="spellEnd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>budou</w:t>
      </w:r>
      <w:proofErr w:type="spellEnd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 xml:space="preserve"> </w:t>
      </w:r>
      <w:proofErr w:type="spellStart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>přijímány</w:t>
      </w:r>
      <w:proofErr w:type="spellEnd"/>
      <w:r w:rsidRPr="000C67B9">
        <w:rPr>
          <w:rFonts w:ascii="Tahoma" w:hAnsi="Tahoma" w:cs="Arial Unicode MS"/>
          <w:kern w:val="1"/>
          <w:sz w:val="20"/>
          <w:szCs w:val="20"/>
          <w:u w:color="FF0000"/>
        </w:rPr>
        <w:t xml:space="preserve"> od </w:t>
      </w:r>
      <w:r w:rsidR="000C67B9">
        <w:rPr>
          <w:rFonts w:ascii="Tahoma" w:hAnsi="Tahoma" w:cs="Arial Unicode MS"/>
          <w:kern w:val="1"/>
          <w:sz w:val="20"/>
          <w:szCs w:val="20"/>
          <w:u w:color="FF0000"/>
        </w:rPr>
        <w:t>1.10</w:t>
      </w:r>
      <w:r w:rsidR="000C67B9" w:rsidRPr="000C67B9">
        <w:rPr>
          <w:rFonts w:ascii="Tahoma" w:hAnsi="Tahoma" w:cs="Arial Unicode MS"/>
          <w:kern w:val="1"/>
          <w:sz w:val="20"/>
          <w:szCs w:val="20"/>
          <w:u w:color="FF0000"/>
        </w:rPr>
        <w:t>.2019.</w:t>
      </w:r>
    </w:p>
    <w:p w14:paraId="28B0E211" w14:textId="77777777" w:rsidR="009A3D09" w:rsidRPr="009A3D09" w:rsidRDefault="009A3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rPr>
          <w:rFonts w:ascii="Tahoma" w:hAnsi="Tahoma" w:cs="Arial Unicode MS"/>
          <w:color w:val="FF0000"/>
          <w:kern w:val="1"/>
          <w:sz w:val="20"/>
          <w:szCs w:val="20"/>
          <w:u w:color="FF0000"/>
        </w:rPr>
      </w:pPr>
    </w:p>
    <w:p w14:paraId="24DD6CAF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  <w:sectPr w:rsidR="00741E7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  <w:proofErr w:type="spellStart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Přílohy</w:t>
      </w:r>
      <w:proofErr w:type="spellEnd"/>
      <w:r>
        <w:rPr>
          <w:rFonts w:ascii="Tahoma" w:hAnsi="Tahoma" w:cs="Arial Unicode MS"/>
          <w:b/>
          <w:bCs/>
          <w:color w:val="000000"/>
          <w:kern w:val="1"/>
          <w:sz w:val="20"/>
          <w:szCs w:val="20"/>
          <w:u w:color="000000"/>
        </w:rPr>
        <w:t>: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</w:p>
    <w:p w14:paraId="5D9F4C7D" w14:textId="77777777" w:rsidR="00741E7E" w:rsidRDefault="00A310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jc w:val="both"/>
      </w:pP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•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Žádost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včetně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čestn</w:t>
      </w:r>
      <w:proofErr w:type="spellEnd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  <w:lang w:val="fr-FR"/>
        </w:rPr>
        <w:t>é</w:t>
      </w:r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 xml:space="preserve">ho </w:t>
      </w:r>
      <w:proofErr w:type="spellStart"/>
      <w:r>
        <w:rPr>
          <w:rFonts w:ascii="Tahoma" w:hAnsi="Tahoma" w:cs="Arial Unicode MS"/>
          <w:color w:val="000000"/>
          <w:kern w:val="1"/>
          <w:sz w:val="20"/>
          <w:szCs w:val="20"/>
          <w:u w:color="000000"/>
        </w:rPr>
        <w:t>prohlášení</w:t>
      </w:r>
      <w:proofErr w:type="spellEnd"/>
    </w:p>
    <w:sectPr w:rsidR="00741E7E">
      <w:type w:val="continuous"/>
      <w:pgSz w:w="11906" w:h="16838"/>
      <w:pgMar w:top="202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DB25" w14:textId="77777777" w:rsidR="00F512B9" w:rsidRDefault="00F512B9">
      <w:r>
        <w:separator/>
      </w:r>
    </w:p>
  </w:endnote>
  <w:endnote w:type="continuationSeparator" w:id="0">
    <w:p w14:paraId="6F8F6732" w14:textId="77777777" w:rsidR="00F512B9" w:rsidRDefault="00F5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5EFB" w14:textId="77777777" w:rsidR="00741E7E" w:rsidRDefault="00741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8658" w14:textId="77777777" w:rsidR="00F512B9" w:rsidRDefault="00F512B9">
      <w:r>
        <w:separator/>
      </w:r>
    </w:p>
  </w:footnote>
  <w:footnote w:type="continuationSeparator" w:id="0">
    <w:p w14:paraId="71B6E001" w14:textId="77777777" w:rsidR="00F512B9" w:rsidRDefault="00F5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27DF" w14:textId="77777777" w:rsidR="00741E7E" w:rsidRDefault="00A310C2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6D2371A" wp14:editId="0998AE39">
          <wp:extent cx="897827" cy="11288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27" cy="11288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1608903" wp14:editId="2F751CCB">
              <wp:extent cx="1930242" cy="1167889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242" cy="11678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5983BC6" w14:textId="77777777" w:rsidR="00741E7E" w:rsidRDefault="00A310C2">
                          <w:pPr>
                            <w:pStyle w:val="Tex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Obec Trojanovice</w:t>
                          </w:r>
                        </w:p>
                        <w:p w14:paraId="1C39FEE3" w14:textId="77777777" w:rsidR="00741E7E" w:rsidRDefault="00A310C2">
                          <w:pPr>
                            <w:pStyle w:val="Tex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Trojanovice 20</w:t>
                          </w:r>
                        </w:p>
                        <w:p w14:paraId="77F409C7" w14:textId="77777777" w:rsidR="00741E7E" w:rsidRDefault="00A310C2">
                          <w:pPr>
                            <w:pStyle w:val="Tex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744 01</w:t>
                          </w:r>
                        </w:p>
                        <w:p w14:paraId="682803C9" w14:textId="77777777" w:rsidR="00741E7E" w:rsidRDefault="00A310C2">
                          <w:pPr>
                            <w:pStyle w:val="Text"/>
                          </w:pPr>
                          <w:r>
                            <w:rPr>
                              <w:b/>
                              <w:bCs/>
                            </w:rPr>
                            <w:t>IČ 00298514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width:152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" filled="f" stroked="f" strokeweight="1pt">
              <v:stroke miterlimit="4"/>
              <v:textbox inset="4pt,4pt,4pt,4pt">
                <w:txbxContent>
                  <w:p w:rsidR="00741E7E" w:rsidRDefault="00A310C2">
                    <w:pPr>
                      <w:pStyle w:val="Tex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Obec Trojanovice</w:t>
                    </w:r>
                  </w:p>
                  <w:p w:rsidR="00741E7E" w:rsidRDefault="00A310C2">
                    <w:pPr>
                      <w:pStyle w:val="Tex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Trojanovice 20</w:t>
                    </w:r>
                  </w:p>
                  <w:p w:rsidR="00741E7E" w:rsidRDefault="00A310C2">
                    <w:pPr>
                      <w:pStyle w:val="Tex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744 01</w:t>
                    </w:r>
                  </w:p>
                  <w:p w:rsidR="00741E7E" w:rsidRDefault="00A310C2">
                    <w:pPr>
                      <w:pStyle w:val="Text"/>
                    </w:pPr>
                    <w:r>
                      <w:rPr>
                        <w:b/>
                        <w:bCs/>
                      </w:rPr>
                      <w:t>IČ 00298514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3ADE7662" wp14:editId="037050E4">
          <wp:extent cx="1846813" cy="686613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ZP_logo_RGB_v2.gi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6813" cy="686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BF2A7" wp14:editId="3EF8B082">
          <wp:extent cx="705091" cy="46881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U_male_barva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5091" cy="46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682B"/>
    <w:multiLevelType w:val="hybridMultilevel"/>
    <w:tmpl w:val="ED7E8BA2"/>
    <w:lvl w:ilvl="0" w:tplc="59161112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2023E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29C5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</w:tabs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402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8204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</w:tabs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490D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688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A8CF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AC56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7E"/>
    <w:rsid w:val="00012F03"/>
    <w:rsid w:val="000C67B9"/>
    <w:rsid w:val="001801CB"/>
    <w:rsid w:val="00243C6D"/>
    <w:rsid w:val="002C3CF9"/>
    <w:rsid w:val="005D06DB"/>
    <w:rsid w:val="0063522B"/>
    <w:rsid w:val="00741E7E"/>
    <w:rsid w:val="00840F48"/>
    <w:rsid w:val="00870346"/>
    <w:rsid w:val="00934472"/>
    <w:rsid w:val="009A3D09"/>
    <w:rsid w:val="009E7C99"/>
    <w:rsid w:val="00A203B6"/>
    <w:rsid w:val="00A310C2"/>
    <w:rsid w:val="00AA3F2B"/>
    <w:rsid w:val="00BC3AFE"/>
    <w:rsid w:val="00C20C77"/>
    <w:rsid w:val="00E9237B"/>
    <w:rsid w:val="00F14186"/>
    <w:rsid w:val="00F512B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46A"/>
  <w15:docId w15:val="{85A99CC7-1F01-4A51-AB48-C1E87C11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Text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Titulek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lang w:val="de-DE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  <w:lang w:val="en-US"/>
    </w:rPr>
  </w:style>
  <w:style w:type="character" w:styleId="Zdraznn">
    <w:name w:val="Emphasis"/>
    <w:qFormat/>
    <w:rsid w:val="0001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ic_</cp:lastModifiedBy>
  <cp:revision>2</cp:revision>
  <dcterms:created xsi:type="dcterms:W3CDTF">2021-03-26T08:22:00Z</dcterms:created>
  <dcterms:modified xsi:type="dcterms:W3CDTF">2021-03-26T08:22:00Z</dcterms:modified>
</cp:coreProperties>
</file>